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  <w:r>
        <w:rPr>
          <w:rFonts w:ascii="Palatino" w:hAnsi="Palatino"/>
          <w:sz w:val="24"/>
          <w:szCs w:val="24"/>
          <w:u w:color="000000"/>
          <w:rtl w:val="0"/>
          <w:lang w:val="de-DE"/>
        </w:rPr>
        <w:t>Biographie</w:t>
      </w: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  <w:r>
        <w:rPr>
          <w:rFonts w:ascii="Palatino" w:hAnsi="Palatino"/>
          <w:sz w:val="24"/>
          <w:szCs w:val="24"/>
          <w:u w:color="000000"/>
          <w:rtl w:val="0"/>
          <w:lang w:val="de-DE"/>
        </w:rPr>
        <w:t>Mit neuen Konzertformaten und experimentierfreudigem Musiktheater mehr Menschen f</w:t>
      </w:r>
      <w:r>
        <w:rPr>
          <w:rFonts w:ascii="Palatino" w:hAnsi="Palatino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>r Oper und Konzert zu begeistern ist ein zentrales Anliegen des Dirigenten Christoph Altstaedt. Seine Programme spannen einen Bogen von der Barockmusik auf Originalinstrumenten bis hin zur zeitgen</w:t>
      </w:r>
      <w:r>
        <w:rPr>
          <w:rFonts w:ascii="Palatino" w:hAnsi="Palatino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>ssischen elektronischen Musik und Hiphop.</w:t>
      </w: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  <w:r>
        <w:rPr>
          <w:rFonts w:ascii="Palatino" w:hAnsi="Palatino"/>
          <w:sz w:val="24"/>
          <w:szCs w:val="24"/>
          <w:u w:color="000000"/>
          <w:rtl w:val="0"/>
          <w:lang w:val="de-DE"/>
        </w:rPr>
        <w:t>Nach ersten Stationen als Korrepetitor und Kapellmeister am Staatstheater am G</w:t>
      </w:r>
      <w:r>
        <w:rPr>
          <w:rFonts w:ascii="Palatino" w:hAnsi="Palatino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>rtnerplatz und an der Deutschen Oper am Rhein gastierte er u.a. an der Oper Z</w:t>
      </w:r>
      <w:r>
        <w:rPr>
          <w:rFonts w:ascii="Palatino" w:hAnsi="Palatino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rich, dem Theater Basel, der Komischen Oper Berlin sowie bei den Festspielen in Salzburg und Savonlinna. 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>Eine kontinuierliche Zusammenarbeit verbindet ihn mit der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 Finnischen Nationaloper Helsinki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, 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Opera North 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>sowie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 Glyndebourne 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>on Tour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  <w:r>
        <w:rPr>
          <w:rFonts w:ascii="Palatino" w:hAnsi="Palatino"/>
          <w:sz w:val="24"/>
          <w:szCs w:val="24"/>
          <w:u w:color="000000"/>
          <w:rtl w:val="0"/>
          <w:lang w:val="de-DE"/>
        </w:rPr>
        <w:t>Im Konzertbereich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 dirigierte er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 in den vergangenen Spielzeiten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 u.a. das 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 xml:space="preserve">Royal Philharmonic  Orchestra, das Toronto Symphony, London Philharmonia, das Ulster Orchestra, das </w:t>
      </w:r>
      <w:r>
        <w:rPr>
          <w:rFonts w:ascii="Palatino" w:hAnsi="Palatino"/>
          <w:sz w:val="24"/>
          <w:szCs w:val="24"/>
          <w:u w:color="000000"/>
          <w:rtl w:val="0"/>
          <w:lang w:val="de-DE"/>
        </w:rPr>
        <w:t>Royal Scottish National Orchestra, die Deutsche Radiophilharmonie, das Ensemble Resonanz, das hr-Sinfonieorchester, das Konzerthausorchester Berlin, das Radio-Sinfonieorchester Stuttgart, das Oslo Filharmonien, das Indianapolis Symphony Orchestra und das Trondheim Symfoniorkester.</w:t>
      </w: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spacing w:line="320" w:lineRule="atLeast"/>
        <w:ind w:left="0" w:right="0" w:firstLine="0"/>
        <w:jc w:val="both"/>
        <w:rPr>
          <w:rFonts w:ascii="Palatino" w:cs="Palatino" w:hAnsi="Palatino" w:eastAsia="Palatino"/>
          <w:sz w:val="24"/>
          <w:szCs w:val="24"/>
          <w:rtl w:val="0"/>
          <w:lang w:val="de-DE"/>
        </w:rPr>
      </w:pPr>
      <w:r>
        <w:rPr>
          <w:rFonts w:ascii="Palatino" w:hAnsi="Palatino"/>
          <w:sz w:val="24"/>
          <w:szCs w:val="24"/>
          <w:rtl w:val="0"/>
          <w:lang w:val="de-DE"/>
        </w:rPr>
        <w:t>Von 2004 bis 2011 leitete er das von ihm gegr</w:t>
      </w:r>
      <w:r>
        <w:rPr>
          <w:rFonts w:ascii="Palatino" w:hAnsi="Palatino" w:hint="default"/>
          <w:sz w:val="24"/>
          <w:szCs w:val="24"/>
          <w:rtl w:val="0"/>
          <w:lang w:val="de-DE"/>
        </w:rPr>
        <w:t>ü</w:t>
      </w:r>
      <w:r>
        <w:rPr>
          <w:rFonts w:ascii="Palatino" w:hAnsi="Palatino"/>
          <w:sz w:val="24"/>
          <w:szCs w:val="24"/>
          <w:rtl w:val="0"/>
          <w:lang w:val="de-DE"/>
        </w:rPr>
        <w:t>ndete Junges Klangforum Mitte Europa - ein Orchester, das sich aus Musikstudierenden der drei L</w:t>
      </w:r>
      <w:r>
        <w:rPr>
          <w:rFonts w:ascii="Palatino" w:hAnsi="Palatino" w:hint="default"/>
          <w:sz w:val="24"/>
          <w:szCs w:val="24"/>
          <w:rtl w:val="0"/>
          <w:lang w:val="de-DE"/>
        </w:rPr>
        <w:t>ä</w:t>
      </w:r>
      <w:r>
        <w:rPr>
          <w:rFonts w:ascii="Palatino" w:hAnsi="Palatino"/>
          <w:sz w:val="24"/>
          <w:szCs w:val="24"/>
          <w:rtl w:val="0"/>
          <w:lang w:val="de-DE"/>
        </w:rPr>
        <w:t>nder Polen, Tschechien und Deutschland zusammensetzte. Unter der Schirmherrschaft der Pr</w:t>
      </w:r>
      <w:r>
        <w:rPr>
          <w:rFonts w:ascii="Palatino" w:hAnsi="Palatino" w:hint="default"/>
          <w:sz w:val="24"/>
          <w:szCs w:val="24"/>
          <w:rtl w:val="0"/>
          <w:lang w:val="de-DE"/>
        </w:rPr>
        <w:t>ä</w:t>
      </w:r>
      <w:r>
        <w:rPr>
          <w:rFonts w:ascii="Palatino" w:hAnsi="Palatino"/>
          <w:sz w:val="24"/>
          <w:szCs w:val="24"/>
          <w:rtl w:val="0"/>
          <w:lang w:val="de-DE"/>
        </w:rPr>
        <w:t>sidenten von Weizs</w:t>
      </w:r>
      <w:r>
        <w:rPr>
          <w:rFonts w:ascii="Palatino" w:hAnsi="Palatino" w:hint="default"/>
          <w:sz w:val="24"/>
          <w:szCs w:val="24"/>
          <w:rtl w:val="0"/>
          <w:lang w:val="de-DE"/>
        </w:rPr>
        <w:t>ä</w:t>
      </w:r>
      <w:r>
        <w:rPr>
          <w:rFonts w:ascii="Palatino" w:hAnsi="Palatino"/>
          <w:sz w:val="24"/>
          <w:szCs w:val="24"/>
          <w:rtl w:val="0"/>
          <w:lang w:val="de-DE"/>
        </w:rPr>
        <w:t>cker, Havel und Wa</w:t>
      </w:r>
      <w:r>
        <w:rPr>
          <w:rFonts w:ascii="Palatino" w:hAnsi="Palatino" w:hint="default"/>
          <w:sz w:val="24"/>
          <w:szCs w:val="24"/>
          <w:rtl w:val="0"/>
          <w:lang w:val="de-DE"/>
        </w:rPr>
        <w:t>łę</w:t>
      </w:r>
      <w:r>
        <w:rPr>
          <w:rFonts w:ascii="Palatino" w:hAnsi="Palatino"/>
          <w:sz w:val="24"/>
          <w:szCs w:val="24"/>
          <w:rtl w:val="0"/>
          <w:lang w:val="de-DE"/>
        </w:rPr>
        <w:t>sa konzertierte das Orchester an historisch bedeutsamen Orten wie Theresienstadt/Terez</w:t>
      </w:r>
      <w:r>
        <w:rPr>
          <w:rFonts w:ascii="Palatino" w:hAnsi="Palatino" w:hint="default"/>
          <w:sz w:val="24"/>
          <w:szCs w:val="24"/>
          <w:rtl w:val="0"/>
          <w:lang w:val="de-DE"/>
        </w:rPr>
        <w:t>í</w:t>
      </w:r>
      <w:r>
        <w:rPr>
          <w:rFonts w:ascii="Palatino" w:hAnsi="Palatino"/>
          <w:sz w:val="24"/>
          <w:szCs w:val="24"/>
          <w:rtl w:val="0"/>
          <w:lang w:val="de-DE"/>
        </w:rPr>
        <w:t>n und Kreisau/Krzy</w:t>
      </w:r>
      <w:r>
        <w:rPr>
          <w:rFonts w:ascii="Palatino" w:hAnsi="Palatino" w:hint="default"/>
          <w:sz w:val="24"/>
          <w:szCs w:val="24"/>
          <w:rtl w:val="0"/>
          <w:lang w:val="de-DE"/>
        </w:rPr>
        <w:t>ż</w:t>
      </w:r>
      <w:r>
        <w:rPr>
          <w:rFonts w:ascii="Palatino" w:hAnsi="Palatino"/>
          <w:sz w:val="24"/>
          <w:szCs w:val="24"/>
          <w:rtl w:val="0"/>
          <w:lang w:val="de-DE"/>
        </w:rPr>
        <w:t>owa und wurde f</w:t>
      </w:r>
      <w:r>
        <w:rPr>
          <w:rFonts w:ascii="Palatino" w:hAnsi="Palatino" w:hint="default"/>
          <w:sz w:val="24"/>
          <w:szCs w:val="24"/>
          <w:rtl w:val="0"/>
          <w:lang w:val="de-DE"/>
        </w:rPr>
        <w:t>ü</w:t>
      </w:r>
      <w:r>
        <w:rPr>
          <w:rFonts w:ascii="Palatino" w:hAnsi="Palatino"/>
          <w:sz w:val="24"/>
          <w:szCs w:val="24"/>
          <w:rtl w:val="0"/>
          <w:lang w:val="de-DE"/>
        </w:rPr>
        <w:t>r seine Bem</w:t>
      </w:r>
      <w:r>
        <w:rPr>
          <w:rFonts w:ascii="Palatino" w:hAnsi="Palatino" w:hint="default"/>
          <w:sz w:val="24"/>
          <w:szCs w:val="24"/>
          <w:rtl w:val="0"/>
          <w:lang w:val="de-DE"/>
        </w:rPr>
        <w:t>ü</w:t>
      </w:r>
      <w:r>
        <w:rPr>
          <w:rFonts w:ascii="Palatino" w:hAnsi="Palatino"/>
          <w:sz w:val="24"/>
          <w:szCs w:val="24"/>
          <w:rtl w:val="0"/>
          <w:lang w:val="de-DE"/>
        </w:rPr>
        <w:t>hungen um die V</w:t>
      </w:r>
      <w:r>
        <w:rPr>
          <w:rFonts w:ascii="Palatino" w:hAnsi="Palatino" w:hint="default"/>
          <w:sz w:val="24"/>
          <w:szCs w:val="24"/>
          <w:rtl w:val="0"/>
          <w:lang w:val="de-DE"/>
        </w:rPr>
        <w:t>ö</w:t>
      </w:r>
      <w:r>
        <w:rPr>
          <w:rFonts w:ascii="Palatino" w:hAnsi="Palatino"/>
          <w:sz w:val="24"/>
          <w:szCs w:val="24"/>
          <w:rtl w:val="0"/>
          <w:lang w:val="de-DE"/>
        </w:rPr>
        <w:t>lkerverst</w:t>
      </w:r>
      <w:r>
        <w:rPr>
          <w:rFonts w:ascii="Palatino" w:hAnsi="Palatino" w:hint="default"/>
          <w:sz w:val="24"/>
          <w:szCs w:val="24"/>
          <w:rtl w:val="0"/>
          <w:lang w:val="de-DE"/>
        </w:rPr>
        <w:t>ä</w:t>
      </w:r>
      <w:r>
        <w:rPr>
          <w:rFonts w:ascii="Palatino" w:hAnsi="Palatino"/>
          <w:sz w:val="24"/>
          <w:szCs w:val="24"/>
          <w:rtl w:val="0"/>
          <w:lang w:val="de-DE"/>
        </w:rPr>
        <w:t xml:space="preserve">ndigung mehrfach ausgezeichnet, u.a. mit dem </w:t>
      </w:r>
      <w:r>
        <w:rPr>
          <w:rFonts w:ascii="Palatino" w:hAnsi="Palatino" w:hint="default"/>
          <w:sz w:val="24"/>
          <w:szCs w:val="24"/>
          <w:rtl w:val="0"/>
          <w:lang w:val="de-DE"/>
        </w:rPr>
        <w:t>„</w:t>
      </w:r>
      <w:r>
        <w:rPr>
          <w:rFonts w:ascii="Palatino" w:hAnsi="Palatino"/>
          <w:sz w:val="24"/>
          <w:szCs w:val="24"/>
          <w:rtl w:val="0"/>
          <w:lang w:val="de-DE"/>
        </w:rPr>
        <w:t>Praemium Imperiale</w:t>
      </w:r>
      <w:r>
        <w:rPr>
          <w:rFonts w:ascii="Palatino" w:hAnsi="Palatino" w:hint="default"/>
          <w:sz w:val="24"/>
          <w:szCs w:val="24"/>
          <w:rtl w:val="0"/>
          <w:lang w:val="de-DE"/>
        </w:rPr>
        <w:t xml:space="preserve">“ </w:t>
      </w:r>
      <w:r>
        <w:rPr>
          <w:rFonts w:ascii="Palatino" w:hAnsi="Palatino"/>
          <w:sz w:val="24"/>
          <w:szCs w:val="24"/>
          <w:rtl w:val="0"/>
          <w:lang w:val="de-DE"/>
        </w:rPr>
        <w:t xml:space="preserve">und dem </w:t>
      </w:r>
      <w:r>
        <w:rPr>
          <w:rFonts w:ascii="Palatino" w:hAnsi="Palatino" w:hint="default"/>
          <w:sz w:val="24"/>
          <w:szCs w:val="24"/>
          <w:rtl w:val="0"/>
          <w:lang w:val="de-DE"/>
        </w:rPr>
        <w:t>„</w:t>
      </w:r>
      <w:r>
        <w:rPr>
          <w:rFonts w:ascii="Palatino" w:hAnsi="Palatino"/>
          <w:sz w:val="24"/>
          <w:szCs w:val="24"/>
          <w:rtl w:val="0"/>
          <w:lang w:val="de-DE"/>
        </w:rPr>
        <w:t>Marion D</w:t>
      </w:r>
      <w:r>
        <w:rPr>
          <w:rFonts w:ascii="Palatino" w:hAnsi="Palatino" w:hint="default"/>
          <w:sz w:val="24"/>
          <w:szCs w:val="24"/>
          <w:rtl w:val="0"/>
          <w:lang w:val="de-DE"/>
        </w:rPr>
        <w:t>ö</w:t>
      </w:r>
      <w:r>
        <w:rPr>
          <w:rFonts w:ascii="Palatino" w:hAnsi="Palatino"/>
          <w:sz w:val="24"/>
          <w:szCs w:val="24"/>
          <w:rtl w:val="0"/>
          <w:lang w:val="de-DE"/>
        </w:rPr>
        <w:t>nhoff Preis</w:t>
      </w:r>
      <w:r>
        <w:rPr>
          <w:rFonts w:ascii="Palatino" w:hAnsi="Palatino" w:hint="default"/>
          <w:sz w:val="24"/>
          <w:szCs w:val="24"/>
          <w:rtl w:val="0"/>
          <w:lang w:val="de-DE"/>
        </w:rPr>
        <w:t>“</w:t>
      </w:r>
      <w:r>
        <w:rPr>
          <w:rFonts w:ascii="Palatino" w:hAnsi="Palatino"/>
          <w:sz w:val="24"/>
          <w:szCs w:val="24"/>
          <w:rtl w:val="0"/>
          <w:lang w:val="de-DE"/>
        </w:rPr>
        <w:t xml:space="preserve">. </w:t>
      </w:r>
    </w:p>
    <w:p>
      <w:pPr>
        <w:pStyle w:val="Standard"/>
        <w:bidi w:val="0"/>
        <w:spacing w:line="320" w:lineRule="atLeast"/>
        <w:ind w:left="0" w:right="0" w:firstLine="0"/>
        <w:jc w:val="both"/>
        <w:rPr>
          <w:rtl w:val="0"/>
        </w:rPr>
      </w:pPr>
      <w:r>
        <w:rPr>
          <w:rFonts w:ascii="Palatino" w:cs="Palatino" w:hAnsi="Palatino" w:eastAsia="Palatino"/>
          <w:sz w:val="24"/>
          <w:szCs w:val="24"/>
          <w:u w:color="000000"/>
          <w:rtl w:val="0"/>
          <w:lang w:val="de-D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